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E" w:rsidRPr="007434E1" w:rsidRDefault="000E27FE" w:rsidP="000E27FE">
      <w:r w:rsidRPr="007434E1">
        <w:t>Hrvatska agencija za poštu i elektroničke komunikacije</w:t>
      </w:r>
    </w:p>
    <w:p w:rsidR="000E27FE" w:rsidRPr="007434E1" w:rsidRDefault="000E27FE" w:rsidP="000E27FE">
      <w:r w:rsidRPr="007434E1">
        <w:t>Jurišićeva 13, p.p. 162</w:t>
      </w:r>
    </w:p>
    <w:p w:rsidR="000E27FE" w:rsidRPr="007434E1" w:rsidRDefault="000E27FE" w:rsidP="000E27FE">
      <w:r w:rsidRPr="007434E1">
        <w:t>10 002 Zagreb</w:t>
      </w:r>
    </w:p>
    <w:p w:rsidR="000E27FE" w:rsidRPr="007434E1" w:rsidRDefault="000E27FE" w:rsidP="000E27FE">
      <w:r w:rsidRPr="007434E1">
        <w:t>Tel. 01/489 60 00</w:t>
      </w:r>
    </w:p>
    <w:p w:rsidR="000E27FE" w:rsidRPr="007434E1" w:rsidRDefault="000E27FE" w:rsidP="000E27FE">
      <w:r w:rsidRPr="007434E1">
        <w:t>Fax. 01/ 492 02 27</w:t>
      </w:r>
    </w:p>
    <w:p w:rsidR="000E27FE" w:rsidRPr="007434E1" w:rsidRDefault="000E27FE" w:rsidP="000E27FE"/>
    <w:p w:rsidR="000E27FE" w:rsidRPr="007434E1" w:rsidRDefault="000E27FE" w:rsidP="000E27FE"/>
    <w:p w:rsidR="000E27FE" w:rsidRPr="007434E1" w:rsidRDefault="000E27FE" w:rsidP="000E27FE"/>
    <w:p w:rsidR="000E27FE" w:rsidRDefault="000E27FE" w:rsidP="000E27FE">
      <w:pPr>
        <w:tabs>
          <w:tab w:val="left" w:pos="851"/>
        </w:tabs>
      </w:pPr>
      <w:r w:rsidRPr="00C671EF">
        <w:t xml:space="preserve">Datum: </w:t>
      </w:r>
      <w:r>
        <w:tab/>
      </w:r>
      <w:r>
        <w:tab/>
      </w:r>
      <w:r w:rsidR="000475A9">
        <w:t>1</w:t>
      </w:r>
      <w:r w:rsidR="00AC3A2D">
        <w:t>3</w:t>
      </w:r>
      <w:r w:rsidRPr="00C671EF">
        <w:t xml:space="preserve">. </w:t>
      </w:r>
      <w:r w:rsidR="000475A9">
        <w:t>svibnja</w:t>
      </w:r>
      <w:r w:rsidRPr="00C671EF">
        <w:t xml:space="preserve"> 201</w:t>
      </w:r>
      <w:r w:rsidR="000475A9">
        <w:t>1</w:t>
      </w:r>
      <w:r w:rsidRPr="00C671EF">
        <w:t>.</w:t>
      </w:r>
      <w:r w:rsidR="00CB064E">
        <w:t xml:space="preserve"> godine</w:t>
      </w:r>
    </w:p>
    <w:p w:rsidR="000E27FE" w:rsidRPr="007434E1" w:rsidRDefault="000E27FE" w:rsidP="000E27FE">
      <w:pPr>
        <w:tabs>
          <w:tab w:val="left" w:pos="851"/>
        </w:tabs>
      </w:pPr>
    </w:p>
    <w:p w:rsidR="000E27FE" w:rsidRPr="009F4F8C" w:rsidRDefault="000E27FE" w:rsidP="000475A9">
      <w:pPr>
        <w:tabs>
          <w:tab w:val="left" w:pos="993"/>
        </w:tabs>
        <w:ind w:left="1440" w:right="-99" w:hanging="1440"/>
        <w:jc w:val="both"/>
        <w:rPr>
          <w:b/>
        </w:rPr>
      </w:pPr>
      <w:r w:rsidRPr="009F4F8C">
        <w:rPr>
          <w:b/>
        </w:rPr>
        <w:t xml:space="preserve">Predmet: </w:t>
      </w:r>
      <w:r w:rsidRPr="009F4F8C">
        <w:rPr>
          <w:b/>
        </w:rPr>
        <w:tab/>
      </w:r>
      <w:r w:rsidRPr="009F4F8C">
        <w:rPr>
          <w:b/>
        </w:rPr>
        <w:tab/>
        <w:t xml:space="preserve">Javna rasprava - Prijedlog </w:t>
      </w:r>
      <w:r w:rsidR="00741F42">
        <w:rPr>
          <w:b/>
        </w:rPr>
        <w:t xml:space="preserve">odluke kojom se </w:t>
      </w:r>
      <w:r w:rsidR="000475A9" w:rsidRPr="000475A9">
        <w:rPr>
          <w:b/>
        </w:rPr>
        <w:t>određuju izmjene i dopune općih uvjeta operatora javnih komunikacijskih usluga vezano uz uslugu govorne pošte</w:t>
      </w:r>
      <w:r w:rsidRPr="009F4F8C">
        <w:rPr>
          <w:b/>
        </w:rPr>
        <w:t xml:space="preserve"> - komentari Tele2 d.o.o. </w:t>
      </w:r>
    </w:p>
    <w:p w:rsidR="000E27FE" w:rsidRPr="007434E1" w:rsidRDefault="000E27FE" w:rsidP="000E27FE"/>
    <w:p w:rsidR="000E27FE" w:rsidRDefault="000E27FE" w:rsidP="000E27FE"/>
    <w:p w:rsidR="000E27FE" w:rsidRPr="007434E1" w:rsidRDefault="000E27FE" w:rsidP="000E27FE">
      <w:r w:rsidRPr="007434E1">
        <w:t>Poštovani,</w:t>
      </w:r>
    </w:p>
    <w:p w:rsidR="00BB3640" w:rsidRDefault="00BB3640" w:rsidP="006F0D71">
      <w:pPr>
        <w:jc w:val="both"/>
      </w:pPr>
    </w:p>
    <w:p w:rsidR="00676211" w:rsidRDefault="000E27FE" w:rsidP="00135E0C">
      <w:pPr>
        <w:ind w:firstLine="720"/>
        <w:jc w:val="both"/>
      </w:pPr>
      <w:r w:rsidRPr="000E27FE">
        <w:t>Nastavno na otvaranje javne rasprave o Prijedlog</w:t>
      </w:r>
      <w:r>
        <w:t>u</w:t>
      </w:r>
      <w:r w:rsidRPr="000E27FE">
        <w:t xml:space="preserve"> </w:t>
      </w:r>
      <w:r w:rsidR="00741F42">
        <w:t xml:space="preserve">odluke kojom se </w:t>
      </w:r>
      <w:r w:rsidR="000475A9" w:rsidRPr="000475A9">
        <w:t>određuju izmjene i dopune općih uvjeta operatora javnih komunikacijskih usluga vezano uz uslugu govorne pošte</w:t>
      </w:r>
      <w:r w:rsidR="0060726B">
        <w:t xml:space="preserve"> (dalje u tekstu: Prijedlog odluke)</w:t>
      </w:r>
      <w:r>
        <w:t xml:space="preserve">, Tele2 d.o.o. </w:t>
      </w:r>
      <w:r w:rsidR="007B16BF">
        <w:t xml:space="preserve">(dalje u tekstu: Tele2) </w:t>
      </w:r>
      <w:r>
        <w:t>se u nastavku očituje kako slijedi:</w:t>
      </w:r>
    </w:p>
    <w:p w:rsidR="006F0D71" w:rsidRDefault="006F0D71" w:rsidP="006F0D71">
      <w:pPr>
        <w:jc w:val="both"/>
      </w:pPr>
    </w:p>
    <w:p w:rsidR="00AF5DD5" w:rsidRDefault="00AF5DD5" w:rsidP="00906336">
      <w:pPr>
        <w:ind w:firstLine="720"/>
        <w:jc w:val="both"/>
      </w:pPr>
      <w:r>
        <w:t>Članak 42 stavak 6 Zakona o elektroničkim komunikacijama (NN-73/08) (dalje u tekstu: ZEK) propisuje da: „</w:t>
      </w:r>
      <w:r w:rsidRPr="00AF5DD5">
        <w:rPr>
          <w:i/>
        </w:rPr>
        <w:t xml:space="preserve">Agencija može, prije ili nakon objave općih uvjeta poslovanja iz stavka 1. ovoga članka, odlukom izmijeniti, dopuniti ili ukinuti pojedine odredbe tih općih uvjeta </w:t>
      </w:r>
      <w:r w:rsidRPr="00AF5DD5">
        <w:rPr>
          <w:b/>
          <w:i/>
          <w:u w:val="single"/>
        </w:rPr>
        <w:t xml:space="preserve">ako utvrdi da su u suprotnosti s odredbama ovoga Zakona ili posebnog zakona </w:t>
      </w:r>
      <w:r w:rsidRPr="00AF5DD5">
        <w:rPr>
          <w:i/>
        </w:rPr>
        <w:t>kojim je uređena zaštita potrošača</w:t>
      </w:r>
      <w:r>
        <w:t>.“</w:t>
      </w:r>
    </w:p>
    <w:p w:rsidR="00AF5DD5" w:rsidRDefault="00AF5DD5" w:rsidP="00906336">
      <w:pPr>
        <w:ind w:firstLine="720"/>
        <w:jc w:val="both"/>
      </w:pPr>
    </w:p>
    <w:p w:rsidR="00AF5DD5" w:rsidRDefault="00AF5DD5" w:rsidP="00906336">
      <w:pPr>
        <w:ind w:firstLine="720"/>
        <w:jc w:val="both"/>
      </w:pPr>
      <w:r>
        <w:t xml:space="preserve">Iz citirane odredbe ZEK-a dakle nedvojbeno slijedi da je preduvjet za donošenje odluke o izmjeni općih uvjeta poslovanja (dalje u tekstu: Opći uvjeti) postojanje </w:t>
      </w:r>
      <w:r w:rsidRPr="00AF5DD5">
        <w:rPr>
          <w:u w:val="single"/>
        </w:rPr>
        <w:t xml:space="preserve">suprotnosti između </w:t>
      </w:r>
      <w:r w:rsidR="00BF32C1">
        <w:rPr>
          <w:u w:val="single"/>
        </w:rPr>
        <w:t>pojedine odredbe</w:t>
      </w:r>
      <w:r>
        <w:rPr>
          <w:u w:val="single"/>
        </w:rPr>
        <w:t xml:space="preserve"> Općih uvjeta i odredaba ZEK-a</w:t>
      </w:r>
      <w:r w:rsidRPr="00AF5DD5">
        <w:rPr>
          <w:u w:val="single"/>
        </w:rPr>
        <w:t xml:space="preserve"> ili posebnog zakona kojime se uređuje zaštita potrošača</w:t>
      </w:r>
      <w:r>
        <w:t xml:space="preserve">. </w:t>
      </w:r>
    </w:p>
    <w:p w:rsidR="00F64053" w:rsidRDefault="00F64053" w:rsidP="00906336">
      <w:pPr>
        <w:ind w:firstLine="720"/>
        <w:jc w:val="both"/>
      </w:pPr>
    </w:p>
    <w:p w:rsidR="00F64053" w:rsidRDefault="00F64053" w:rsidP="00906336">
      <w:pPr>
        <w:ind w:firstLine="720"/>
        <w:jc w:val="both"/>
      </w:pPr>
      <w:r>
        <w:t xml:space="preserve">Notorna je činjenica da takva </w:t>
      </w:r>
      <w:r w:rsidRPr="00DC3BDF">
        <w:rPr>
          <w:u w:val="single"/>
        </w:rPr>
        <w:t>suprotnost mora postojati u općim uvjetima one pravne osobe (ili onih pravnih osoba) kojoj se i nalaže izmjena tih istih općih uvjeta</w:t>
      </w:r>
      <w:r>
        <w:t xml:space="preserve"> u svrhu otklanjanja uočenih nepravilnosti. Izmjena općih uvjeta u kojima nema nepravilnosti (dakle, ni preduvjeta za donošenje odluke) jedne pravne osobe radi otklanjanja </w:t>
      </w:r>
      <w:r w:rsidR="008674D5">
        <w:t xml:space="preserve">eventualno </w:t>
      </w:r>
      <w:r>
        <w:t xml:space="preserve">uočenih nepravilnosti u općim uvjetima druge pravne osobe </w:t>
      </w:r>
      <w:r w:rsidR="00DC3BDF">
        <w:t>(</w:t>
      </w:r>
      <w:r>
        <w:t xml:space="preserve">na koje ova prva nema </w:t>
      </w:r>
      <w:r w:rsidR="00DC3BDF">
        <w:t xml:space="preserve">apsolutno </w:t>
      </w:r>
      <w:r>
        <w:t>nikakvog utjecaja</w:t>
      </w:r>
      <w:r w:rsidR="00DC3BDF">
        <w:t>)</w:t>
      </w:r>
      <w:r>
        <w:t xml:space="preserve"> protivn</w:t>
      </w:r>
      <w:r w:rsidR="00DC3BDF">
        <w:t>a</w:t>
      </w:r>
      <w:r>
        <w:t xml:space="preserve"> je načelu pravne sigurnosti, diskrimina</w:t>
      </w:r>
      <w:r w:rsidR="00DC3BDF">
        <w:t xml:space="preserve">torna je, te predstavlja neosnovano </w:t>
      </w:r>
      <w:r>
        <w:t xml:space="preserve">sankcioniranje pravne osobe koja se u svom poslovanju </w:t>
      </w:r>
      <w:r w:rsidR="00DC3BDF">
        <w:t xml:space="preserve">u cijelosti </w:t>
      </w:r>
      <w:r>
        <w:t>pridržava pozitivnih propisa</w:t>
      </w:r>
      <w:r w:rsidR="008043E3">
        <w:t xml:space="preserve"> i bez posebne intervencije HAKOM-a</w:t>
      </w:r>
      <w:r>
        <w:t>.</w:t>
      </w:r>
    </w:p>
    <w:p w:rsidR="00DC3BDF" w:rsidRDefault="00DC3BDF" w:rsidP="00906336">
      <w:pPr>
        <w:ind w:firstLine="720"/>
        <w:jc w:val="both"/>
      </w:pPr>
      <w:r>
        <w:t xml:space="preserve">S tim u vezi osobito skrećemo pažnju da </w:t>
      </w:r>
      <w:r w:rsidR="008043E3">
        <w:t xml:space="preserve">se </w:t>
      </w:r>
      <w:r>
        <w:t xml:space="preserve">i sam HAKOM u obrazloženju Prijedloga odluke </w:t>
      </w:r>
      <w:r w:rsidR="008043E3">
        <w:t>vodi ovom</w:t>
      </w:r>
      <w:r>
        <w:t xml:space="preserve"> logik</w:t>
      </w:r>
      <w:r w:rsidR="008043E3">
        <w:t>om</w:t>
      </w:r>
      <w:r>
        <w:t xml:space="preserve"> kada </w:t>
      </w:r>
      <w:r w:rsidR="008043E3">
        <w:t xml:space="preserve">kao argument za odbijanje prijedloga </w:t>
      </w:r>
      <w:r>
        <w:t>HT-a da se odlukom obuhvate i nepokretni operatori</w:t>
      </w:r>
      <w:r w:rsidR="008043E3">
        <w:t xml:space="preserve"> navodi da u odnosu na njih</w:t>
      </w:r>
      <w:r>
        <w:t>: „..</w:t>
      </w:r>
      <w:r w:rsidRPr="00DC3BDF">
        <w:rPr>
          <w:i/>
        </w:rPr>
        <w:t>trenutno nisu uočeni istovrsni problemi u pružanju dodatnih usluga</w:t>
      </w:r>
      <w:r>
        <w:t xml:space="preserve">“. </w:t>
      </w:r>
    </w:p>
    <w:p w:rsidR="00DC3BDF" w:rsidRDefault="008043E3" w:rsidP="00906336">
      <w:pPr>
        <w:ind w:firstLine="720"/>
        <w:jc w:val="both"/>
      </w:pPr>
      <w:r>
        <w:t>S</w:t>
      </w:r>
      <w:r w:rsidR="00DC3BDF">
        <w:t xml:space="preserve">lijedi da je Tele2 trenutno jedini operator na tržištu elektroničkih komunikacija u odnosu na kojega ne mora biti ispunjen preduvjet propisan člankom 42 stavak 6 ZEK-a, a to </w:t>
      </w:r>
      <w:r w:rsidR="00DC3BDF" w:rsidRPr="008043E3">
        <w:t>je</w:t>
      </w:r>
      <w:r w:rsidR="00DC3BDF" w:rsidRPr="00F13D6A">
        <w:rPr>
          <w:b/>
          <w:i/>
          <w:u w:val="single"/>
        </w:rPr>
        <w:t xml:space="preserve"> </w:t>
      </w:r>
      <w:r w:rsidR="00710605">
        <w:rPr>
          <w:b/>
          <w:i/>
          <w:u w:val="single"/>
        </w:rPr>
        <w:t>utvrđivanje</w:t>
      </w:r>
      <w:r w:rsidR="00DC3BDF" w:rsidRPr="00F13D6A">
        <w:rPr>
          <w:b/>
          <w:i/>
          <w:u w:val="single"/>
        </w:rPr>
        <w:t xml:space="preserve"> nepravilnosti u Općim uvjetima Tele2</w:t>
      </w:r>
      <w:r w:rsidR="00DC3BDF">
        <w:t>.</w:t>
      </w:r>
    </w:p>
    <w:p w:rsidR="00DC3BDF" w:rsidRDefault="00DC3BDF" w:rsidP="00906336">
      <w:pPr>
        <w:ind w:firstLine="720"/>
        <w:jc w:val="both"/>
      </w:pPr>
    </w:p>
    <w:p w:rsidR="00E1198F" w:rsidRDefault="00E1198F" w:rsidP="00906336">
      <w:pPr>
        <w:ind w:firstLine="720"/>
        <w:jc w:val="both"/>
      </w:pPr>
    </w:p>
    <w:p w:rsidR="00710605" w:rsidRDefault="00710605" w:rsidP="00906336">
      <w:pPr>
        <w:ind w:firstLine="720"/>
        <w:jc w:val="both"/>
      </w:pPr>
      <w:r>
        <w:t>Radi zaštite interesa pravne sigurnosti Tele2</w:t>
      </w:r>
      <w:r w:rsidR="008674D5">
        <w:t>,</w:t>
      </w:r>
      <w:r>
        <w:t xml:space="preserve"> jednako kao i u svim prethodnim očitovanjima</w:t>
      </w:r>
      <w:r w:rsidR="008674D5">
        <w:t>,</w:t>
      </w:r>
      <w:r>
        <w:t xml:space="preserve"> traži da naslovno tijelo taksativno navede odredbe pozitivnih propisa sa kojima su Opći uvjeti </w:t>
      </w:r>
      <w:r w:rsidRPr="00E1198F">
        <w:rPr>
          <w:u w:val="single"/>
        </w:rPr>
        <w:t>Tele2</w:t>
      </w:r>
      <w:r>
        <w:t xml:space="preserve"> u suprotnosti, a sve kako bi se utvrdilo postojanje ovlasti HAKOM-a na donošenje predmetne odluke u konkretnom slučaju u odnosu na Tele2.</w:t>
      </w:r>
    </w:p>
    <w:p w:rsidR="00710605" w:rsidRDefault="00710605" w:rsidP="00906336">
      <w:pPr>
        <w:ind w:firstLine="720"/>
        <w:jc w:val="both"/>
      </w:pPr>
    </w:p>
    <w:p w:rsidR="00E1198F" w:rsidRDefault="00E1198F" w:rsidP="00E1198F">
      <w:pPr>
        <w:ind w:firstLine="720"/>
        <w:jc w:val="both"/>
      </w:pPr>
      <w:r>
        <w:t>Indikativno je da obrazloženje Prijedloga odluke sadrži detaljna očitovanja u odnosu na HT i VIP dok se činjenice utvrđene u odnosu na Tele2</w:t>
      </w:r>
      <w:r w:rsidR="008674D5">
        <w:t xml:space="preserve">, a te su da nema nikakvih nepravilnosti u pružanju usluga govorne pošte, </w:t>
      </w:r>
      <w:r>
        <w:t>u potpunosti ignoriraju. Naime, Tele2 je spomenut pri utvrđivanju da operatori uslugu govorne pošte pružaju na različiti način, te</w:t>
      </w:r>
      <w:r w:rsidR="00154BC1">
        <w:t xml:space="preserve"> u dijelu koji glasi:</w:t>
      </w:r>
    </w:p>
    <w:p w:rsidR="00E1198F" w:rsidRDefault="00154BC1" w:rsidP="00E1198F">
      <w:pPr>
        <w:ind w:firstLine="720"/>
        <w:jc w:val="both"/>
      </w:pPr>
      <w:r>
        <w:t>„</w:t>
      </w:r>
      <w:r w:rsidR="00E1198F" w:rsidRPr="00154BC1">
        <w:rPr>
          <w:i/>
        </w:rPr>
        <w:t xml:space="preserve">HAKOM je </w:t>
      </w:r>
      <w:r w:rsidR="00E1198F" w:rsidRPr="00154BC1">
        <w:rPr>
          <w:i/>
          <w:u w:val="single"/>
        </w:rPr>
        <w:t>s obzirom na</w:t>
      </w:r>
      <w:r w:rsidR="00E1198F" w:rsidRPr="00154BC1">
        <w:rPr>
          <w:i/>
        </w:rPr>
        <w:t xml:space="preserve"> </w:t>
      </w:r>
      <w:r w:rsidR="00E1198F" w:rsidRPr="00154BC1">
        <w:rPr>
          <w:i/>
          <w:u w:val="single"/>
        </w:rPr>
        <w:t>utvrđenu različitost u načinu pružanju usluge</w:t>
      </w:r>
      <w:r w:rsidR="00E1198F" w:rsidRPr="00154BC1">
        <w:rPr>
          <w:i/>
        </w:rPr>
        <w:t xml:space="preserve"> govorne pošte stavio opću</w:t>
      </w:r>
      <w:r w:rsidRPr="00154BC1">
        <w:rPr>
          <w:i/>
        </w:rPr>
        <w:t xml:space="preserve"> </w:t>
      </w:r>
      <w:r w:rsidR="00E1198F" w:rsidRPr="00154BC1">
        <w:rPr>
          <w:i/>
        </w:rPr>
        <w:t>primjedbu odnosno napomenu za sve navedene operatore, koja se sastoji u tome da su operatori</w:t>
      </w:r>
      <w:r w:rsidRPr="00154BC1">
        <w:rPr>
          <w:i/>
        </w:rPr>
        <w:t xml:space="preserve"> </w:t>
      </w:r>
      <w:r w:rsidR="00E1198F" w:rsidRPr="00154BC1">
        <w:rPr>
          <w:i/>
          <w:u w:val="single"/>
        </w:rPr>
        <w:t>dužni ukloniti uočene nedostatke zbog nepotpune informacije koju daju korisnicima o usluzi</w:t>
      </w:r>
      <w:r w:rsidRPr="00154BC1">
        <w:rPr>
          <w:i/>
          <w:u w:val="single"/>
        </w:rPr>
        <w:t xml:space="preserve"> </w:t>
      </w:r>
      <w:r w:rsidR="00E1198F" w:rsidRPr="00154BC1">
        <w:rPr>
          <w:i/>
          <w:u w:val="single"/>
        </w:rPr>
        <w:t>govorne pošte, a posebno načinu korištenja i naplate korištenja usluge govorne pošte u inozemstvu</w:t>
      </w:r>
      <w:r w:rsidR="00E1198F" w:rsidRPr="00154BC1">
        <w:rPr>
          <w:i/>
        </w:rPr>
        <w:t>.</w:t>
      </w:r>
      <w:r w:rsidRPr="00154BC1">
        <w:rPr>
          <w:i/>
        </w:rPr>
        <w:t xml:space="preserve"> </w:t>
      </w:r>
      <w:r w:rsidR="00E1198F" w:rsidRPr="00154BC1">
        <w:rPr>
          <w:i/>
        </w:rPr>
        <w:t xml:space="preserve">HAKOM smatra, u svezi s navodima Tele2 s </w:t>
      </w:r>
      <w:r w:rsidR="00E1198F" w:rsidRPr="00154BC1">
        <w:rPr>
          <w:i/>
        </w:rPr>
        <w:lastRenderedPageBreak/>
        <w:t>radnog sastanka koji uslugu govorne pošte uključuje</w:t>
      </w:r>
      <w:r w:rsidRPr="00154BC1">
        <w:rPr>
          <w:i/>
        </w:rPr>
        <w:t xml:space="preserve"> </w:t>
      </w:r>
      <w:r w:rsidR="00E1198F" w:rsidRPr="00154BC1">
        <w:rPr>
          <w:b/>
          <w:i/>
        </w:rPr>
        <w:t>samo na izričiti zahtjev korisnika, da isti i u napomeni treba informirati korisnika o navedenoj</w:t>
      </w:r>
      <w:r w:rsidRPr="00154BC1">
        <w:rPr>
          <w:b/>
          <w:i/>
        </w:rPr>
        <w:t xml:space="preserve"> </w:t>
      </w:r>
      <w:r w:rsidR="00E1198F" w:rsidRPr="008674D5">
        <w:rPr>
          <w:b/>
          <w:i/>
        </w:rPr>
        <w:t>usluzi</w:t>
      </w:r>
      <w:r w:rsidR="00E1198F" w:rsidRPr="00154BC1">
        <w:t>.</w:t>
      </w:r>
      <w:r>
        <w:t>“</w:t>
      </w:r>
    </w:p>
    <w:p w:rsidR="00154BC1" w:rsidRDefault="00154BC1" w:rsidP="00E1198F">
      <w:pPr>
        <w:ind w:firstLine="720"/>
        <w:jc w:val="both"/>
      </w:pPr>
    </w:p>
    <w:p w:rsidR="00154BC1" w:rsidRDefault="00154BC1" w:rsidP="00E1198F">
      <w:pPr>
        <w:ind w:firstLine="720"/>
        <w:jc w:val="both"/>
      </w:pPr>
      <w:r>
        <w:t xml:space="preserve">Slijedi da je naslovno tijelo zaključilo kako upravo ta različitost u načinu pružanja usluge predstavlja nepravilnost u pružanju iste što smatramo potpuno neutemeljenim. Ovo osobito stoga što niti jedna od </w:t>
      </w:r>
      <w:r w:rsidR="00970677">
        <w:t xml:space="preserve"> </w:t>
      </w:r>
      <w:r>
        <w:t>navedenih nepravilnosti (nepotpuna informacija, način korištenja i eventualne naplate – bilo u RH ili u inozemstvu) nije utvrđena u slučaju Tele2 tijekom prikupljanja činjenica u prethodno provedenom postupku.</w:t>
      </w:r>
    </w:p>
    <w:p w:rsidR="00154BC1" w:rsidRDefault="00154BC1" w:rsidP="00E1198F">
      <w:pPr>
        <w:ind w:firstLine="720"/>
        <w:jc w:val="both"/>
      </w:pPr>
    </w:p>
    <w:p w:rsidR="00154BC1" w:rsidRDefault="00154BC1" w:rsidP="00E1198F">
      <w:pPr>
        <w:ind w:firstLine="720"/>
        <w:jc w:val="both"/>
      </w:pPr>
      <w:r>
        <w:t>Još jednom podsjećamo naslovno tijelo da u slučaju Tele2:</w:t>
      </w:r>
    </w:p>
    <w:p w:rsidR="00154BC1" w:rsidRDefault="00154BC1" w:rsidP="00154BC1">
      <w:pPr>
        <w:numPr>
          <w:ilvl w:val="0"/>
          <w:numId w:val="11"/>
        </w:numPr>
        <w:jc w:val="both"/>
      </w:pPr>
      <w:r>
        <w:t>Uslugu govorne pošte koriste isključivo oni korisnici koji su samostalno zatražili aktivaciju iste. Dakle, Tele2 ne aktivira takvu uslugu samoinicijativno niti bez znanja i zahtjeva korisnika.</w:t>
      </w:r>
    </w:p>
    <w:p w:rsidR="00154BC1" w:rsidRDefault="00154BC1" w:rsidP="00154BC1">
      <w:pPr>
        <w:numPr>
          <w:ilvl w:val="0"/>
          <w:numId w:val="11"/>
        </w:numPr>
        <w:jc w:val="both"/>
      </w:pPr>
      <w:r>
        <w:t>Aktivacija i deaktivacija usluge su besplatni</w:t>
      </w:r>
      <w:r w:rsidR="008674D5">
        <w:t>.</w:t>
      </w:r>
    </w:p>
    <w:p w:rsidR="00154BC1" w:rsidRDefault="00154BC1" w:rsidP="00154BC1">
      <w:pPr>
        <w:numPr>
          <w:ilvl w:val="0"/>
          <w:numId w:val="11"/>
        </w:numPr>
        <w:jc w:val="both"/>
      </w:pPr>
      <w:r>
        <w:t>Korištenje usluge na području Republike Hrvatske je besplatno (informacija transparentno iskazana u cjeniku</w:t>
      </w:r>
      <w:r w:rsidR="008674D5">
        <w:t xml:space="preserve"> i na internetskim stranicama Tele2</w:t>
      </w:r>
      <w:r>
        <w:t>)</w:t>
      </w:r>
      <w:r w:rsidR="008674D5">
        <w:t>.</w:t>
      </w:r>
    </w:p>
    <w:p w:rsidR="00154BC1" w:rsidRDefault="00154BC1" w:rsidP="00154BC1">
      <w:pPr>
        <w:numPr>
          <w:ilvl w:val="0"/>
          <w:numId w:val="11"/>
        </w:numPr>
        <w:jc w:val="both"/>
      </w:pPr>
      <w:r>
        <w:t>Korištenje usluge van Republike Hrvatske naplaćuje se prema cijeni poziva iz inozemstva (roaminga) za odabrani tarifni model (informacija transparentno iskazana u cjeniku</w:t>
      </w:r>
      <w:r w:rsidR="00970677">
        <w:t xml:space="preserve"> i </w:t>
      </w:r>
      <w:r w:rsidR="008F4F07">
        <w:t xml:space="preserve">na </w:t>
      </w:r>
      <w:r w:rsidR="00970677">
        <w:t>internetskim stranicama Tele2</w:t>
      </w:r>
      <w:r>
        <w:t>)</w:t>
      </w:r>
    </w:p>
    <w:p w:rsidR="00154BC1" w:rsidRDefault="00154BC1" w:rsidP="00154BC1">
      <w:pPr>
        <w:numPr>
          <w:ilvl w:val="0"/>
          <w:numId w:val="11"/>
        </w:numPr>
        <w:jc w:val="both"/>
      </w:pPr>
      <w:r>
        <w:t>Način aktivacije i deaktivacije usluge korisnicima detaljno je i transparentno opisan, te je korisnicima trajno dostupan na službenim stranicama Tele2. Navedene informacije korisnici mogu u svakom trenutku dobiti i besplatnim pozivom službi za korisnike.</w:t>
      </w:r>
    </w:p>
    <w:p w:rsidR="008F4F07" w:rsidRDefault="008F4F07" w:rsidP="00220960">
      <w:pPr>
        <w:ind w:firstLine="720"/>
        <w:jc w:val="both"/>
      </w:pPr>
    </w:p>
    <w:p w:rsidR="00154BC1" w:rsidRDefault="008674D5" w:rsidP="00220960">
      <w:pPr>
        <w:ind w:firstLine="720"/>
        <w:jc w:val="both"/>
      </w:pPr>
      <w:r>
        <w:t xml:space="preserve">Nesporno je, dakle, </w:t>
      </w:r>
      <w:r w:rsidR="00154BC1">
        <w:t xml:space="preserve">da je Tele2 svojim korisnicima dao </w:t>
      </w:r>
      <w:r w:rsidR="00154BC1" w:rsidRPr="00970677">
        <w:t>potpun, detaljan, točan i nezavaravajući opis usluge na način razumljiv prosječnom korisniku, te je korisnik prije aktivacije i korištenja usluge upoznat s iznosom za koji ga se može teretiti.</w:t>
      </w:r>
      <w:r w:rsidR="00220960">
        <w:t xml:space="preserve"> </w:t>
      </w:r>
    </w:p>
    <w:p w:rsidR="00A208E2" w:rsidRDefault="00220960" w:rsidP="00220960">
      <w:pPr>
        <w:ind w:firstLine="720"/>
        <w:jc w:val="both"/>
      </w:pPr>
      <w:r>
        <w:t>S obzirom na navedeno potpuno je nejas</w:t>
      </w:r>
      <w:r w:rsidR="008674D5">
        <w:t>a</w:t>
      </w:r>
      <w:r>
        <w:t xml:space="preserve">n </w:t>
      </w:r>
      <w:r w:rsidR="008674D5">
        <w:t>zaključak</w:t>
      </w:r>
      <w:r>
        <w:t xml:space="preserve"> da Tele2 mora u napomeni informirati korisnika o navedenoj usluzi </w:t>
      </w:r>
      <w:r w:rsidR="00B413DC">
        <w:t xml:space="preserve">kada su sve informacije o predmetnoj usluzi svim korisnicima Tele2 </w:t>
      </w:r>
      <w:r w:rsidR="006F3A46">
        <w:t>predane</w:t>
      </w:r>
      <w:r w:rsidR="008674D5">
        <w:t xml:space="preserve"> pravodobno, te mu ostaju trajno dostupne tijekom cijelog korištenja usluge.</w:t>
      </w:r>
      <w:r w:rsidR="007D269F">
        <w:t xml:space="preserve"> </w:t>
      </w:r>
      <w:r w:rsidR="00A208E2">
        <w:t xml:space="preserve">U odnosu na nametanje obveze aktivnog promoviranja usluge u mjeri koju operator smatra poslovno neprihvatljivom očitovali smo se tijekom ranije provedenog postupka. Ovdje samo ponavljamo da takvo postupanje predstavlja </w:t>
      </w:r>
      <w:r w:rsidR="00A208E2">
        <w:rPr>
          <w:color w:val="000000"/>
        </w:rPr>
        <w:t>zadiranje u poslovne odluke i marketinšku strategiju Tele2 što je potpuno neprimjereno, te za isto ne postoji nikakvo valjano niti na zakonu utemeljeno opravdanje.</w:t>
      </w:r>
    </w:p>
    <w:p w:rsidR="00541AED" w:rsidRDefault="00541AED" w:rsidP="00BB553F">
      <w:pPr>
        <w:ind w:firstLine="720"/>
        <w:jc w:val="both"/>
      </w:pPr>
    </w:p>
    <w:p w:rsidR="00BB553F" w:rsidRDefault="00B9588B" w:rsidP="00BB553F">
      <w:pPr>
        <w:ind w:firstLine="720"/>
        <w:jc w:val="both"/>
      </w:pPr>
      <w:r>
        <w:t>Nadalje, predložena odluka nije samo nezakonita nego je i</w:t>
      </w:r>
      <w:r w:rsidR="00541AED">
        <w:t xml:space="preserve"> potpuno nejasna. Naime, </w:t>
      </w:r>
      <w:r>
        <w:t xml:space="preserve">iz točke I Prijedloga odluke </w:t>
      </w:r>
      <w:r w:rsidR="00541AED">
        <w:t xml:space="preserve">nije jasno </w:t>
      </w:r>
      <w:r w:rsidR="00BB553F">
        <w:t xml:space="preserve">da li se </w:t>
      </w:r>
      <w:r w:rsidR="00541AED">
        <w:t>ovdje radi</w:t>
      </w:r>
      <w:r w:rsidR="00BB553F">
        <w:t xml:space="preserve"> o trošku koji se plaća za </w:t>
      </w:r>
      <w:r w:rsidR="00541AED">
        <w:t xml:space="preserve">samo </w:t>
      </w:r>
      <w:r w:rsidR="00BB553F">
        <w:t>uključenje/dodjeljivanje</w:t>
      </w:r>
      <w:r w:rsidR="00541AED">
        <w:t xml:space="preserve"> usluge</w:t>
      </w:r>
      <w:r w:rsidR="00BB553F">
        <w:t xml:space="preserve"> ili trošku korištenja usluge koji slijedi nakon (besplatnog) uključenja/dodjeljivanja. Osim toga, potpuno je nejasno kako korisnik pokreće uslugu kao i što se </w:t>
      </w:r>
      <w:r w:rsidR="00541AED">
        <w:t xml:space="preserve">ima </w:t>
      </w:r>
      <w:r w:rsidR="00BB553F">
        <w:t>podrazumijeva</w:t>
      </w:r>
      <w:r w:rsidR="00541AED">
        <w:t>ti</w:t>
      </w:r>
      <w:r w:rsidR="00BB553F">
        <w:t xml:space="preserve"> pod pokretanjem usluge. </w:t>
      </w:r>
      <w:r w:rsidR="00541AED">
        <w:t>Budući da se radi o definiranju odredbe Općih uvjeta smatramo da ista mora biti potpuno transparentna, jasna, te da ne smije biti podložna naknadnim tumačenjima, kako radi zaštite operatora tako i radi zaštite interesa krajnjih korisnika.</w:t>
      </w:r>
      <w:r w:rsidR="00BB553F">
        <w:t xml:space="preserve"> </w:t>
      </w:r>
    </w:p>
    <w:p w:rsidR="00A208E2" w:rsidRDefault="00A208E2" w:rsidP="00906336">
      <w:pPr>
        <w:ind w:firstLine="720"/>
        <w:jc w:val="both"/>
      </w:pPr>
    </w:p>
    <w:p w:rsidR="00B9588B" w:rsidRDefault="00B9588B" w:rsidP="00B9588B">
      <w:pPr>
        <w:ind w:firstLine="720"/>
        <w:jc w:val="both"/>
        <w:rPr>
          <w:rFonts w:cs="Arial"/>
        </w:rPr>
      </w:pPr>
      <w:r w:rsidRPr="00ED016A">
        <w:rPr>
          <w:rFonts w:cs="Arial"/>
        </w:rPr>
        <w:t xml:space="preserve">Slijedom svega gore navedenog, mišljenja smo da </w:t>
      </w:r>
      <w:r w:rsidRPr="00ED016A">
        <w:rPr>
          <w:rFonts w:cs="Arial"/>
          <w:u w:val="single"/>
        </w:rPr>
        <w:t xml:space="preserve">uslijed nepostojanja zakonske </w:t>
      </w:r>
      <w:r>
        <w:rPr>
          <w:rFonts w:cs="Arial"/>
          <w:u w:val="single"/>
        </w:rPr>
        <w:t xml:space="preserve">osnove i uslijed nepostojanja uvjeta pod kojima bi se Opći uvjeti Tele2 ili način pružanja usluge govorne pošte od strane Tele2 imali smatrati protivni pozitivnim propisima, </w:t>
      </w:r>
      <w:r w:rsidRPr="00ED016A">
        <w:rPr>
          <w:rFonts w:cs="Arial"/>
          <w:u w:val="single"/>
        </w:rPr>
        <w:t>nema niti osnove za vođenje predmetnog upravnog postupka</w:t>
      </w:r>
      <w:r w:rsidRPr="00ED016A">
        <w:rPr>
          <w:rFonts w:cs="Arial"/>
        </w:rPr>
        <w:t xml:space="preserve"> te slijedom toga predlažemo da </w:t>
      </w:r>
      <w:r>
        <w:rPr>
          <w:rFonts w:cs="Arial"/>
        </w:rPr>
        <w:t>HAKOM</w:t>
      </w:r>
      <w:r w:rsidRPr="00ED016A">
        <w:rPr>
          <w:rFonts w:cs="Arial"/>
        </w:rPr>
        <w:t xml:space="preserve"> </w:t>
      </w:r>
      <w:r>
        <w:rPr>
          <w:rFonts w:cs="Arial"/>
        </w:rPr>
        <w:t xml:space="preserve">bez odgode </w:t>
      </w:r>
      <w:r w:rsidRPr="00ED016A">
        <w:rPr>
          <w:rFonts w:cs="Arial"/>
        </w:rPr>
        <w:t xml:space="preserve">donese zaključak kojim se obustavlja predmetni postupak. </w:t>
      </w:r>
    </w:p>
    <w:p w:rsidR="00B9588B" w:rsidRDefault="00B9588B" w:rsidP="00B9588B">
      <w:pPr>
        <w:ind w:firstLine="720"/>
        <w:jc w:val="both"/>
      </w:pPr>
    </w:p>
    <w:p w:rsidR="00B9588B" w:rsidRDefault="00B9588B" w:rsidP="00B9588B">
      <w:pPr>
        <w:ind w:firstLine="720"/>
        <w:jc w:val="both"/>
      </w:pPr>
    </w:p>
    <w:p w:rsidR="005655F5" w:rsidRDefault="005655F5" w:rsidP="004754BA">
      <w:pPr>
        <w:ind w:firstLine="720"/>
        <w:jc w:val="both"/>
      </w:pPr>
    </w:p>
    <w:p w:rsidR="00BE7EAF" w:rsidRDefault="00BE7EAF" w:rsidP="00BE7EAF">
      <w:pPr>
        <w:ind w:left="284"/>
        <w:jc w:val="both"/>
      </w:pPr>
    </w:p>
    <w:p w:rsidR="00BE7EAF" w:rsidRPr="009F4F8C" w:rsidRDefault="00BE7EAF" w:rsidP="00BE7EAF">
      <w:pPr>
        <w:ind w:left="284"/>
        <w:jc w:val="both"/>
      </w:pPr>
      <w:r>
        <w:t>Tele2 d.o.o.</w:t>
      </w:r>
    </w:p>
    <w:p w:rsidR="009F4F8C" w:rsidRDefault="009F4F8C" w:rsidP="00C04D2A">
      <w:pPr>
        <w:jc w:val="both"/>
      </w:pPr>
    </w:p>
    <w:p w:rsidR="009F4F8C" w:rsidRDefault="009F4F8C" w:rsidP="00C04D2A">
      <w:pPr>
        <w:jc w:val="both"/>
      </w:pPr>
    </w:p>
    <w:p w:rsidR="00C04D2A" w:rsidRPr="00C04D2A" w:rsidRDefault="00C04D2A" w:rsidP="00C04D2A">
      <w:pPr>
        <w:jc w:val="both"/>
      </w:pPr>
    </w:p>
    <w:p w:rsidR="000E27FE" w:rsidRDefault="000E27FE" w:rsidP="00C04D2A">
      <w:pPr>
        <w:jc w:val="both"/>
      </w:pPr>
    </w:p>
    <w:sectPr w:rsidR="000E27FE" w:rsidSect="00F1563F">
      <w:headerReference w:type="default" r:id="rId7"/>
      <w:footerReference w:type="default" r:id="rId8"/>
      <w:pgSz w:w="11907" w:h="16840" w:code="9"/>
      <w:pgMar w:top="1560" w:right="1417" w:bottom="284" w:left="1560" w:header="567" w:footer="1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A91" w:rsidRDefault="00536A91">
      <w:r>
        <w:separator/>
      </w:r>
    </w:p>
  </w:endnote>
  <w:endnote w:type="continuationSeparator" w:id="1">
    <w:p w:rsidR="00536A91" w:rsidRDefault="00536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1563F" w:rsidP="00F1563F">
    <w:pPr>
      <w:pStyle w:val="Footer"/>
      <w:tabs>
        <w:tab w:val="clear" w:pos="4536"/>
        <w:tab w:val="clear" w:pos="9072"/>
      </w:tabs>
      <w:ind w:left="-1418"/>
      <w:rPr>
        <w:szCs w:val="12"/>
      </w:rPr>
    </w:pPr>
    <w:r>
      <w:rPr>
        <w:szCs w:val="12"/>
      </w:rPr>
      <w:t xml:space="preserve">  </w:t>
    </w:r>
    <w:r>
      <w:rPr>
        <w:noProof/>
        <w:szCs w:val="12"/>
        <w:lang w:eastAsia="zh-CN"/>
      </w:rPr>
      <w:t xml:space="preserve"> </w:t>
    </w:r>
    <w:r>
      <w:rPr>
        <w:szCs w:val="12"/>
      </w:rPr>
      <w:t xml:space="preserve">                      </w:t>
    </w:r>
    <w:r>
      <w:rPr>
        <w:szCs w:val="12"/>
      </w:rPr>
      <w:tab/>
    </w:r>
  </w:p>
  <w:p w:rsidR="00444F59" w:rsidRPr="00F1563F" w:rsidRDefault="00612990" w:rsidP="00F1563F">
    <w:pPr>
      <w:pStyle w:val="Footer"/>
      <w:tabs>
        <w:tab w:val="clear" w:pos="4536"/>
        <w:tab w:val="clear" w:pos="9072"/>
      </w:tabs>
      <w:ind w:left="-1418"/>
      <w:rPr>
        <w:szCs w:val="12"/>
      </w:rPr>
    </w:pPr>
    <w:r>
      <w:rPr>
        <w:noProof/>
        <w:szCs w:val="12"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-1.95pt;margin-top:8.85pt;width:270.55pt;height:52.85pt;z-index:251657216" stroked="f">
          <v:textbox>
            <w:txbxContent>
              <w:p w:rsidR="00F1563F" w:rsidRPr="000B4F8F" w:rsidRDefault="00F1563F" w:rsidP="00F1563F">
                <w:pPr>
                  <w:pStyle w:val="Footer"/>
                  <w:jc w:val="both"/>
                  <w:rPr>
                    <w:rFonts w:ascii="Arial" w:hAnsi="Arial" w:cs="Arial"/>
                    <w:color w:val="999999"/>
                    <w:sz w:val="14"/>
                    <w:szCs w:val="14"/>
                    <w:lang w:val="sv-SE"/>
                  </w:rPr>
                </w:pPr>
                <w:r w:rsidRPr="000B4F8F">
                  <w:rPr>
                    <w:rFonts w:ascii="Arial" w:hAnsi="Arial" w:cs="Arial"/>
                    <w:b/>
                    <w:color w:val="999999"/>
                    <w:sz w:val="14"/>
                    <w:szCs w:val="14"/>
                    <w:lang w:val="sv-SE"/>
                  </w:rPr>
                  <w:t>Tele2 d.o.o. za telekomunikacijske usluge, U</w:t>
                </w:r>
                <w:r w:rsidRPr="000B4F8F">
                  <w:rPr>
                    <w:rFonts w:ascii="Arial" w:hAnsi="Arial" w:cs="Arial"/>
                    <w:color w:val="999999"/>
                    <w:sz w:val="14"/>
                    <w:szCs w:val="14"/>
                    <w:lang w:val="sv-SE"/>
                  </w:rPr>
                  <w:t>lica grada Vukovara 269 d, 10 000 Zagreb, Hrvatska, Telefon: +385 (0)1 63 28 300  Telefax: +385 (0)1 63 28 301            Podaci o društvu: upisano u registar Trgovačkog suda 080492341, MB 1849018</w:t>
                </w:r>
                <w:r w:rsidR="009A7C00">
                  <w:rPr>
                    <w:rFonts w:ascii="Arial" w:hAnsi="Arial" w:cs="Arial"/>
                    <w:color w:val="999999"/>
                    <w:sz w:val="14"/>
                    <w:szCs w:val="14"/>
                    <w:lang w:val="sv-SE"/>
                  </w:rPr>
                  <w:t xml:space="preserve">, OIB 70133616033, </w:t>
                </w:r>
                <w:r w:rsidRPr="000B4F8F">
                  <w:rPr>
                    <w:rFonts w:ascii="Arial" w:hAnsi="Arial" w:cs="Arial"/>
                    <w:color w:val="999999"/>
                    <w:sz w:val="14"/>
                    <w:szCs w:val="14"/>
                    <w:lang w:val="sv-SE"/>
                  </w:rPr>
                  <w:t>Poslovna banka: Privredna banka Zagreb d.d.  Žiro račun: 2340009 - 1110169306</w:t>
                </w:r>
              </w:p>
              <w:p w:rsidR="00F1563F" w:rsidRDefault="00F1563F" w:rsidP="00F1563F"/>
            </w:txbxContent>
          </v:textbox>
        </v:shape>
      </w:pict>
    </w:r>
    <w:r w:rsidR="00F1563F">
      <w:rPr>
        <w:szCs w:val="12"/>
      </w:rPr>
      <w:tab/>
    </w:r>
    <w:r w:rsidR="00F1563F">
      <w:rPr>
        <w:szCs w:val="12"/>
      </w:rPr>
      <w:tab/>
      <w:t xml:space="preserve"> </w:t>
    </w:r>
    <w:r w:rsidR="00F1563F">
      <w:rPr>
        <w:szCs w:val="12"/>
      </w:rPr>
      <w:tab/>
    </w:r>
    <w:r w:rsidR="00F1563F">
      <w:rPr>
        <w:szCs w:val="12"/>
      </w:rPr>
      <w:tab/>
    </w:r>
    <w:r w:rsidR="00F1563F">
      <w:rPr>
        <w:szCs w:val="12"/>
      </w:rPr>
      <w:tab/>
    </w:r>
    <w:r w:rsidR="00F1563F">
      <w:rPr>
        <w:szCs w:val="12"/>
      </w:rPr>
      <w:tab/>
    </w:r>
    <w:r w:rsidR="00F1563F">
      <w:rPr>
        <w:szCs w:val="12"/>
      </w:rPr>
      <w:tab/>
    </w:r>
    <w:r w:rsidR="00F1563F">
      <w:rPr>
        <w:szCs w:val="12"/>
      </w:rPr>
      <w:tab/>
    </w:r>
    <w:r w:rsidR="001B28BA">
      <w:rPr>
        <w:szCs w:val="12"/>
      </w:rPr>
      <w:t xml:space="preserve">                             </w:t>
    </w:r>
    <w:r w:rsidR="00B95008">
      <w:rPr>
        <w:noProof/>
        <w:szCs w:val="12"/>
        <w:lang w:eastAsia="hr-HR"/>
      </w:rPr>
      <w:drawing>
        <wp:inline distT="0" distB="0" distL="0" distR="0">
          <wp:extent cx="1966595" cy="741680"/>
          <wp:effectExtent l="1905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59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1563F">
      <w:rPr>
        <w:szCs w:val="12"/>
      </w:rPr>
      <w:tab/>
      <w:t xml:space="preserve">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A91" w:rsidRDefault="00536A91">
      <w:r>
        <w:separator/>
      </w:r>
    </w:p>
  </w:footnote>
  <w:footnote w:type="continuationSeparator" w:id="1">
    <w:p w:rsidR="00536A91" w:rsidRDefault="00536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DE9" w:rsidRPr="00646DE9" w:rsidRDefault="00646DE9" w:rsidP="003B3005">
    <w:pPr>
      <w:pStyle w:val="Header"/>
      <w:tabs>
        <w:tab w:val="center" w:pos="4677"/>
        <w:tab w:val="right" w:pos="9355"/>
      </w:tabs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191"/>
    <w:multiLevelType w:val="hybridMultilevel"/>
    <w:tmpl w:val="BC8A6E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6669B"/>
    <w:multiLevelType w:val="hybridMultilevel"/>
    <w:tmpl w:val="18CED48C"/>
    <w:lvl w:ilvl="0" w:tplc="56686EEE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E70ABC"/>
    <w:multiLevelType w:val="hybridMultilevel"/>
    <w:tmpl w:val="925A29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C6760A"/>
    <w:multiLevelType w:val="hybridMultilevel"/>
    <w:tmpl w:val="3C6A1024"/>
    <w:lvl w:ilvl="0" w:tplc="38A20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9868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F60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CF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86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CE7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04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D07D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724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013ED"/>
    <w:multiLevelType w:val="hybridMultilevel"/>
    <w:tmpl w:val="3610953E"/>
    <w:lvl w:ilvl="0" w:tplc="1AF696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21B8498E"/>
    <w:multiLevelType w:val="hybridMultilevel"/>
    <w:tmpl w:val="9F1A1DBC"/>
    <w:lvl w:ilvl="0" w:tplc="21EE2D06">
      <w:start w:val="1"/>
      <w:numFmt w:val="decimal"/>
      <w:lvlText w:val="%1."/>
      <w:lvlJc w:val="left"/>
      <w:pPr>
        <w:tabs>
          <w:tab w:val="num" w:pos="1635"/>
        </w:tabs>
        <w:ind w:left="1635" w:hanging="91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ADE2096"/>
    <w:multiLevelType w:val="hybridMultilevel"/>
    <w:tmpl w:val="BB24E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516F"/>
    <w:multiLevelType w:val="hybridMultilevel"/>
    <w:tmpl w:val="C35AD2C4"/>
    <w:lvl w:ilvl="0" w:tplc="05B2F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982199"/>
    <w:multiLevelType w:val="hybridMultilevel"/>
    <w:tmpl w:val="87E49F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A4A99"/>
    <w:multiLevelType w:val="hybridMultilevel"/>
    <w:tmpl w:val="8FAC644C"/>
    <w:lvl w:ilvl="0" w:tplc="EE446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396B52"/>
    <w:multiLevelType w:val="hybridMultilevel"/>
    <w:tmpl w:val="BC3E2752"/>
    <w:lvl w:ilvl="0" w:tplc="685E7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3A07A7"/>
    <w:multiLevelType w:val="hybridMultilevel"/>
    <w:tmpl w:val="8272D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98673F"/>
    <w:multiLevelType w:val="hybridMultilevel"/>
    <w:tmpl w:val="68BA3734"/>
    <w:lvl w:ilvl="0" w:tplc="041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54932BB"/>
    <w:multiLevelType w:val="hybridMultilevel"/>
    <w:tmpl w:val="008A2E74"/>
    <w:lvl w:ilvl="0" w:tplc="041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2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strokecolor="gray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E71E3"/>
    <w:rsid w:val="00005CDF"/>
    <w:rsid w:val="00010D83"/>
    <w:rsid w:val="00020DFA"/>
    <w:rsid w:val="00023452"/>
    <w:rsid w:val="00025191"/>
    <w:rsid w:val="00031026"/>
    <w:rsid w:val="000475A9"/>
    <w:rsid w:val="00051371"/>
    <w:rsid w:val="000515F9"/>
    <w:rsid w:val="000632D2"/>
    <w:rsid w:val="00073B99"/>
    <w:rsid w:val="00080CCA"/>
    <w:rsid w:val="00083EAC"/>
    <w:rsid w:val="0008501C"/>
    <w:rsid w:val="00086D27"/>
    <w:rsid w:val="00095AB2"/>
    <w:rsid w:val="00097A52"/>
    <w:rsid w:val="000A0135"/>
    <w:rsid w:val="000A1281"/>
    <w:rsid w:val="000A4BE1"/>
    <w:rsid w:val="000A69D9"/>
    <w:rsid w:val="000B1C6A"/>
    <w:rsid w:val="000B4F8F"/>
    <w:rsid w:val="000C038B"/>
    <w:rsid w:val="000C2458"/>
    <w:rsid w:val="000C4306"/>
    <w:rsid w:val="000C581A"/>
    <w:rsid w:val="000C6622"/>
    <w:rsid w:val="000D45EF"/>
    <w:rsid w:val="000D6A98"/>
    <w:rsid w:val="000E27FE"/>
    <w:rsid w:val="000E4BAE"/>
    <w:rsid w:val="000E71E3"/>
    <w:rsid w:val="000F75A4"/>
    <w:rsid w:val="00102593"/>
    <w:rsid w:val="00117E98"/>
    <w:rsid w:val="00133847"/>
    <w:rsid w:val="00135E0C"/>
    <w:rsid w:val="001527A3"/>
    <w:rsid w:val="00154BC1"/>
    <w:rsid w:val="00180371"/>
    <w:rsid w:val="001824B3"/>
    <w:rsid w:val="001863FC"/>
    <w:rsid w:val="0018697C"/>
    <w:rsid w:val="001908E9"/>
    <w:rsid w:val="001A2F4F"/>
    <w:rsid w:val="001A3163"/>
    <w:rsid w:val="001B2401"/>
    <w:rsid w:val="001B27F4"/>
    <w:rsid w:val="001B28BA"/>
    <w:rsid w:val="001B6688"/>
    <w:rsid w:val="001C5CFA"/>
    <w:rsid w:val="001C6730"/>
    <w:rsid w:val="001E1C07"/>
    <w:rsid w:val="001F0F31"/>
    <w:rsid w:val="001F2261"/>
    <w:rsid w:val="001F4257"/>
    <w:rsid w:val="001F7898"/>
    <w:rsid w:val="0021259C"/>
    <w:rsid w:val="00213C4B"/>
    <w:rsid w:val="00213DB1"/>
    <w:rsid w:val="00220960"/>
    <w:rsid w:val="00223AEA"/>
    <w:rsid w:val="002260A6"/>
    <w:rsid w:val="002364CB"/>
    <w:rsid w:val="002467CB"/>
    <w:rsid w:val="00246FE1"/>
    <w:rsid w:val="002633A9"/>
    <w:rsid w:val="00267693"/>
    <w:rsid w:val="00271780"/>
    <w:rsid w:val="00274FB4"/>
    <w:rsid w:val="0027568F"/>
    <w:rsid w:val="0029065B"/>
    <w:rsid w:val="002911BA"/>
    <w:rsid w:val="002961B9"/>
    <w:rsid w:val="002A0F25"/>
    <w:rsid w:val="002A1388"/>
    <w:rsid w:val="002A2010"/>
    <w:rsid w:val="002A5992"/>
    <w:rsid w:val="002B1D5D"/>
    <w:rsid w:val="002D3DE1"/>
    <w:rsid w:val="002E02BC"/>
    <w:rsid w:val="002E03DB"/>
    <w:rsid w:val="002E1B04"/>
    <w:rsid w:val="002E21DC"/>
    <w:rsid w:val="00305ACB"/>
    <w:rsid w:val="00311D42"/>
    <w:rsid w:val="00317FCF"/>
    <w:rsid w:val="00320DF3"/>
    <w:rsid w:val="00331792"/>
    <w:rsid w:val="00333FE6"/>
    <w:rsid w:val="00334482"/>
    <w:rsid w:val="003419F8"/>
    <w:rsid w:val="003530F0"/>
    <w:rsid w:val="003602EE"/>
    <w:rsid w:val="003628DD"/>
    <w:rsid w:val="00363013"/>
    <w:rsid w:val="00366904"/>
    <w:rsid w:val="003710CA"/>
    <w:rsid w:val="00385DFC"/>
    <w:rsid w:val="00386AF2"/>
    <w:rsid w:val="00387567"/>
    <w:rsid w:val="003965AD"/>
    <w:rsid w:val="00397327"/>
    <w:rsid w:val="003B3005"/>
    <w:rsid w:val="003B5036"/>
    <w:rsid w:val="003D03F2"/>
    <w:rsid w:val="003D1809"/>
    <w:rsid w:val="003D32C1"/>
    <w:rsid w:val="003D6719"/>
    <w:rsid w:val="003E4107"/>
    <w:rsid w:val="003E55C6"/>
    <w:rsid w:val="0040120C"/>
    <w:rsid w:val="00402E45"/>
    <w:rsid w:val="00405F6B"/>
    <w:rsid w:val="0041004F"/>
    <w:rsid w:val="00410C51"/>
    <w:rsid w:val="00423A9F"/>
    <w:rsid w:val="0042654E"/>
    <w:rsid w:val="00426BE4"/>
    <w:rsid w:val="00436BD2"/>
    <w:rsid w:val="00436F26"/>
    <w:rsid w:val="00444F59"/>
    <w:rsid w:val="00457805"/>
    <w:rsid w:val="004646E5"/>
    <w:rsid w:val="004754BA"/>
    <w:rsid w:val="00477F91"/>
    <w:rsid w:val="0048007D"/>
    <w:rsid w:val="00480EAD"/>
    <w:rsid w:val="00480F1D"/>
    <w:rsid w:val="00484A5F"/>
    <w:rsid w:val="0048671F"/>
    <w:rsid w:val="004869BB"/>
    <w:rsid w:val="00486D64"/>
    <w:rsid w:val="00492A0C"/>
    <w:rsid w:val="00492C1B"/>
    <w:rsid w:val="004950E0"/>
    <w:rsid w:val="004975B8"/>
    <w:rsid w:val="004B0AED"/>
    <w:rsid w:val="004B13A7"/>
    <w:rsid w:val="004B5FF4"/>
    <w:rsid w:val="004D0FAB"/>
    <w:rsid w:val="004D12F5"/>
    <w:rsid w:val="004E37BC"/>
    <w:rsid w:val="004E5929"/>
    <w:rsid w:val="005255B4"/>
    <w:rsid w:val="00526848"/>
    <w:rsid w:val="00527E98"/>
    <w:rsid w:val="0053183E"/>
    <w:rsid w:val="00531D90"/>
    <w:rsid w:val="00536A91"/>
    <w:rsid w:val="00541AED"/>
    <w:rsid w:val="00547275"/>
    <w:rsid w:val="00553762"/>
    <w:rsid w:val="0055601F"/>
    <w:rsid w:val="00563438"/>
    <w:rsid w:val="00564143"/>
    <w:rsid w:val="005655F5"/>
    <w:rsid w:val="0056766E"/>
    <w:rsid w:val="00570C7F"/>
    <w:rsid w:val="00583E22"/>
    <w:rsid w:val="00590081"/>
    <w:rsid w:val="00592521"/>
    <w:rsid w:val="00595FB6"/>
    <w:rsid w:val="005B34AD"/>
    <w:rsid w:val="005B56F7"/>
    <w:rsid w:val="005B78C8"/>
    <w:rsid w:val="005C4F96"/>
    <w:rsid w:val="006003C1"/>
    <w:rsid w:val="006009AB"/>
    <w:rsid w:val="00604F0B"/>
    <w:rsid w:val="0060726B"/>
    <w:rsid w:val="00611628"/>
    <w:rsid w:val="00612990"/>
    <w:rsid w:val="006145DD"/>
    <w:rsid w:val="0061710A"/>
    <w:rsid w:val="00627062"/>
    <w:rsid w:val="00646DE9"/>
    <w:rsid w:val="006477C0"/>
    <w:rsid w:val="00664C98"/>
    <w:rsid w:val="00675B4A"/>
    <w:rsid w:val="00676211"/>
    <w:rsid w:val="006931AC"/>
    <w:rsid w:val="006932B4"/>
    <w:rsid w:val="00697B59"/>
    <w:rsid w:val="006A74D8"/>
    <w:rsid w:val="006A7694"/>
    <w:rsid w:val="006B3E3C"/>
    <w:rsid w:val="006B6C67"/>
    <w:rsid w:val="006B7747"/>
    <w:rsid w:val="006C65BF"/>
    <w:rsid w:val="006D012F"/>
    <w:rsid w:val="006D137D"/>
    <w:rsid w:val="006D23BC"/>
    <w:rsid w:val="006D3928"/>
    <w:rsid w:val="006D7816"/>
    <w:rsid w:val="006E2D5D"/>
    <w:rsid w:val="006E4246"/>
    <w:rsid w:val="006E67E9"/>
    <w:rsid w:val="006F0D71"/>
    <w:rsid w:val="006F29FD"/>
    <w:rsid w:val="006F3A46"/>
    <w:rsid w:val="006F5DF4"/>
    <w:rsid w:val="006F5FEC"/>
    <w:rsid w:val="006F7EB2"/>
    <w:rsid w:val="00710605"/>
    <w:rsid w:val="00716E5C"/>
    <w:rsid w:val="0073139F"/>
    <w:rsid w:val="00735100"/>
    <w:rsid w:val="00736236"/>
    <w:rsid w:val="0074157B"/>
    <w:rsid w:val="00741F42"/>
    <w:rsid w:val="0074407D"/>
    <w:rsid w:val="00745706"/>
    <w:rsid w:val="007558E9"/>
    <w:rsid w:val="007642A2"/>
    <w:rsid w:val="00770226"/>
    <w:rsid w:val="00773502"/>
    <w:rsid w:val="00777D1D"/>
    <w:rsid w:val="00780214"/>
    <w:rsid w:val="00795111"/>
    <w:rsid w:val="007A23A5"/>
    <w:rsid w:val="007A2897"/>
    <w:rsid w:val="007A4A95"/>
    <w:rsid w:val="007A60F5"/>
    <w:rsid w:val="007B0968"/>
    <w:rsid w:val="007B16BF"/>
    <w:rsid w:val="007B2D09"/>
    <w:rsid w:val="007B55E6"/>
    <w:rsid w:val="007D269F"/>
    <w:rsid w:val="007D6D25"/>
    <w:rsid w:val="007E17DA"/>
    <w:rsid w:val="007F5F2D"/>
    <w:rsid w:val="007F7939"/>
    <w:rsid w:val="008043E3"/>
    <w:rsid w:val="008049E0"/>
    <w:rsid w:val="00805372"/>
    <w:rsid w:val="00810AEB"/>
    <w:rsid w:val="008202FB"/>
    <w:rsid w:val="00823CD0"/>
    <w:rsid w:val="00824B13"/>
    <w:rsid w:val="0082707F"/>
    <w:rsid w:val="00831075"/>
    <w:rsid w:val="00832A53"/>
    <w:rsid w:val="00837DAF"/>
    <w:rsid w:val="008403DA"/>
    <w:rsid w:val="00840BE2"/>
    <w:rsid w:val="00842B5B"/>
    <w:rsid w:val="008432E0"/>
    <w:rsid w:val="00845E6B"/>
    <w:rsid w:val="00850FE9"/>
    <w:rsid w:val="00861734"/>
    <w:rsid w:val="008618BB"/>
    <w:rsid w:val="00864923"/>
    <w:rsid w:val="008674D5"/>
    <w:rsid w:val="00886101"/>
    <w:rsid w:val="008902BD"/>
    <w:rsid w:val="00892910"/>
    <w:rsid w:val="00892F49"/>
    <w:rsid w:val="00893CD8"/>
    <w:rsid w:val="008A313B"/>
    <w:rsid w:val="008B0192"/>
    <w:rsid w:val="008B07ED"/>
    <w:rsid w:val="008B3FAA"/>
    <w:rsid w:val="008C1457"/>
    <w:rsid w:val="008C1E20"/>
    <w:rsid w:val="008C7758"/>
    <w:rsid w:val="008D6623"/>
    <w:rsid w:val="008E1AA0"/>
    <w:rsid w:val="008E24E8"/>
    <w:rsid w:val="008F4F07"/>
    <w:rsid w:val="008F629F"/>
    <w:rsid w:val="00903017"/>
    <w:rsid w:val="00903338"/>
    <w:rsid w:val="00906336"/>
    <w:rsid w:val="00914640"/>
    <w:rsid w:val="00916CAC"/>
    <w:rsid w:val="00931143"/>
    <w:rsid w:val="00931808"/>
    <w:rsid w:val="0093728F"/>
    <w:rsid w:val="00941F20"/>
    <w:rsid w:val="00942CAF"/>
    <w:rsid w:val="009559FF"/>
    <w:rsid w:val="009623C7"/>
    <w:rsid w:val="00964A78"/>
    <w:rsid w:val="00966AD0"/>
    <w:rsid w:val="00970677"/>
    <w:rsid w:val="00971C0F"/>
    <w:rsid w:val="009755B8"/>
    <w:rsid w:val="00991610"/>
    <w:rsid w:val="00993A9F"/>
    <w:rsid w:val="00995634"/>
    <w:rsid w:val="009A7C00"/>
    <w:rsid w:val="009B21B5"/>
    <w:rsid w:val="009B2E8F"/>
    <w:rsid w:val="009C1607"/>
    <w:rsid w:val="009C184A"/>
    <w:rsid w:val="009D11FD"/>
    <w:rsid w:val="009E172B"/>
    <w:rsid w:val="009E20EA"/>
    <w:rsid w:val="009E250D"/>
    <w:rsid w:val="009E2F9D"/>
    <w:rsid w:val="009E49BD"/>
    <w:rsid w:val="009E64E0"/>
    <w:rsid w:val="009E7ABF"/>
    <w:rsid w:val="009F4F8C"/>
    <w:rsid w:val="009F7D5E"/>
    <w:rsid w:val="00A0003B"/>
    <w:rsid w:val="00A12E99"/>
    <w:rsid w:val="00A208E2"/>
    <w:rsid w:val="00A21E0D"/>
    <w:rsid w:val="00A35675"/>
    <w:rsid w:val="00A35BF5"/>
    <w:rsid w:val="00A4310F"/>
    <w:rsid w:val="00A43DE3"/>
    <w:rsid w:val="00A51909"/>
    <w:rsid w:val="00A5214A"/>
    <w:rsid w:val="00A5287B"/>
    <w:rsid w:val="00A557EE"/>
    <w:rsid w:val="00A55A64"/>
    <w:rsid w:val="00A63E83"/>
    <w:rsid w:val="00A662EA"/>
    <w:rsid w:val="00A72DEB"/>
    <w:rsid w:val="00A74D11"/>
    <w:rsid w:val="00A7655A"/>
    <w:rsid w:val="00AA0544"/>
    <w:rsid w:val="00AB1B5F"/>
    <w:rsid w:val="00AC2046"/>
    <w:rsid w:val="00AC3A2D"/>
    <w:rsid w:val="00AC4054"/>
    <w:rsid w:val="00AF2E35"/>
    <w:rsid w:val="00AF5480"/>
    <w:rsid w:val="00AF5DD5"/>
    <w:rsid w:val="00AF7C5C"/>
    <w:rsid w:val="00B10A3E"/>
    <w:rsid w:val="00B11581"/>
    <w:rsid w:val="00B11F63"/>
    <w:rsid w:val="00B13F92"/>
    <w:rsid w:val="00B152D5"/>
    <w:rsid w:val="00B171A7"/>
    <w:rsid w:val="00B21DCC"/>
    <w:rsid w:val="00B24C70"/>
    <w:rsid w:val="00B3277E"/>
    <w:rsid w:val="00B3458C"/>
    <w:rsid w:val="00B413DC"/>
    <w:rsid w:val="00B44B16"/>
    <w:rsid w:val="00B508D3"/>
    <w:rsid w:val="00B51198"/>
    <w:rsid w:val="00B72668"/>
    <w:rsid w:val="00B86EF1"/>
    <w:rsid w:val="00B873AB"/>
    <w:rsid w:val="00B95008"/>
    <w:rsid w:val="00B9588B"/>
    <w:rsid w:val="00B96854"/>
    <w:rsid w:val="00BA2300"/>
    <w:rsid w:val="00BA7319"/>
    <w:rsid w:val="00BB3640"/>
    <w:rsid w:val="00BB553F"/>
    <w:rsid w:val="00BB63C1"/>
    <w:rsid w:val="00BD0D35"/>
    <w:rsid w:val="00BD369B"/>
    <w:rsid w:val="00BD410E"/>
    <w:rsid w:val="00BD5BC2"/>
    <w:rsid w:val="00BE09A8"/>
    <w:rsid w:val="00BE2912"/>
    <w:rsid w:val="00BE76D4"/>
    <w:rsid w:val="00BE7EAF"/>
    <w:rsid w:val="00BF32C1"/>
    <w:rsid w:val="00BF55A4"/>
    <w:rsid w:val="00C04D2A"/>
    <w:rsid w:val="00C1093D"/>
    <w:rsid w:val="00C11FFC"/>
    <w:rsid w:val="00C120F2"/>
    <w:rsid w:val="00C128E4"/>
    <w:rsid w:val="00C20B07"/>
    <w:rsid w:val="00C24D1F"/>
    <w:rsid w:val="00C30E94"/>
    <w:rsid w:val="00C373AA"/>
    <w:rsid w:val="00C51DB3"/>
    <w:rsid w:val="00C55EB7"/>
    <w:rsid w:val="00C572E1"/>
    <w:rsid w:val="00C627C6"/>
    <w:rsid w:val="00C66594"/>
    <w:rsid w:val="00C73A6F"/>
    <w:rsid w:val="00C8641E"/>
    <w:rsid w:val="00CA5389"/>
    <w:rsid w:val="00CB064E"/>
    <w:rsid w:val="00CB54C3"/>
    <w:rsid w:val="00CC2CB3"/>
    <w:rsid w:val="00CD5171"/>
    <w:rsid w:val="00CD57F4"/>
    <w:rsid w:val="00CE7B11"/>
    <w:rsid w:val="00D037EE"/>
    <w:rsid w:val="00D04BF7"/>
    <w:rsid w:val="00D0563A"/>
    <w:rsid w:val="00D12B50"/>
    <w:rsid w:val="00D150E2"/>
    <w:rsid w:val="00D22B01"/>
    <w:rsid w:val="00D27B25"/>
    <w:rsid w:val="00D3303A"/>
    <w:rsid w:val="00D42A06"/>
    <w:rsid w:val="00D500C3"/>
    <w:rsid w:val="00D552AF"/>
    <w:rsid w:val="00D57012"/>
    <w:rsid w:val="00D57A14"/>
    <w:rsid w:val="00D634CB"/>
    <w:rsid w:val="00D645A1"/>
    <w:rsid w:val="00D7296D"/>
    <w:rsid w:val="00D7696B"/>
    <w:rsid w:val="00D80516"/>
    <w:rsid w:val="00D81776"/>
    <w:rsid w:val="00D8225C"/>
    <w:rsid w:val="00D8611E"/>
    <w:rsid w:val="00D937BA"/>
    <w:rsid w:val="00DB2072"/>
    <w:rsid w:val="00DB56E2"/>
    <w:rsid w:val="00DC3BDF"/>
    <w:rsid w:val="00DC4C8C"/>
    <w:rsid w:val="00DC7117"/>
    <w:rsid w:val="00DD06A5"/>
    <w:rsid w:val="00DD0F68"/>
    <w:rsid w:val="00DD4732"/>
    <w:rsid w:val="00DE0344"/>
    <w:rsid w:val="00DE43FA"/>
    <w:rsid w:val="00DF0742"/>
    <w:rsid w:val="00DF41E1"/>
    <w:rsid w:val="00E07F22"/>
    <w:rsid w:val="00E1198F"/>
    <w:rsid w:val="00E269DC"/>
    <w:rsid w:val="00E332D5"/>
    <w:rsid w:val="00E33521"/>
    <w:rsid w:val="00E33631"/>
    <w:rsid w:val="00E35E5A"/>
    <w:rsid w:val="00E54927"/>
    <w:rsid w:val="00E56F7B"/>
    <w:rsid w:val="00E903C0"/>
    <w:rsid w:val="00E93CF5"/>
    <w:rsid w:val="00E971C3"/>
    <w:rsid w:val="00E97BDF"/>
    <w:rsid w:val="00EA3076"/>
    <w:rsid w:val="00EA71B2"/>
    <w:rsid w:val="00EC16C6"/>
    <w:rsid w:val="00EE0C96"/>
    <w:rsid w:val="00EE24A1"/>
    <w:rsid w:val="00EE267F"/>
    <w:rsid w:val="00EF00AD"/>
    <w:rsid w:val="00EF2678"/>
    <w:rsid w:val="00EF543D"/>
    <w:rsid w:val="00F103F7"/>
    <w:rsid w:val="00F12ADA"/>
    <w:rsid w:val="00F12F1B"/>
    <w:rsid w:val="00F13D6A"/>
    <w:rsid w:val="00F1563F"/>
    <w:rsid w:val="00F1614B"/>
    <w:rsid w:val="00F17712"/>
    <w:rsid w:val="00F17A02"/>
    <w:rsid w:val="00F328F8"/>
    <w:rsid w:val="00F415D3"/>
    <w:rsid w:val="00F46240"/>
    <w:rsid w:val="00F47290"/>
    <w:rsid w:val="00F62D3E"/>
    <w:rsid w:val="00F64053"/>
    <w:rsid w:val="00F74B4B"/>
    <w:rsid w:val="00F76BC4"/>
    <w:rsid w:val="00F93352"/>
    <w:rsid w:val="00FB7CE4"/>
    <w:rsid w:val="00FC0864"/>
    <w:rsid w:val="00FC343E"/>
    <w:rsid w:val="00FD37F9"/>
    <w:rsid w:val="00FF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gray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FEC"/>
    <w:rPr>
      <w:lang w:eastAsia="sv-SE"/>
    </w:rPr>
  </w:style>
  <w:style w:type="paragraph" w:styleId="Heading1">
    <w:name w:val="heading 1"/>
    <w:basedOn w:val="Normal"/>
    <w:next w:val="Normal"/>
    <w:qFormat/>
    <w:rsid w:val="00BD5BC2"/>
    <w:pPr>
      <w:keepNext/>
      <w:tabs>
        <w:tab w:val="left" w:pos="5954"/>
        <w:tab w:val="right" w:pos="10065"/>
      </w:tabs>
      <w:outlineLvl w:val="0"/>
    </w:pPr>
    <w:rPr>
      <w:rFonts w:ascii="Helv" w:hAnsi="Helv"/>
      <w:snapToGrid w:val="0"/>
      <w:color w:val="000000"/>
      <w:sz w:val="16"/>
      <w:lang w:val="en-AU" w:eastAsia="en-US"/>
    </w:rPr>
  </w:style>
  <w:style w:type="paragraph" w:styleId="Heading2">
    <w:name w:val="heading 2"/>
    <w:basedOn w:val="Normal"/>
    <w:next w:val="Normal"/>
    <w:qFormat/>
    <w:rsid w:val="00BD5BC2"/>
    <w:pPr>
      <w:keepNext/>
      <w:outlineLvl w:val="1"/>
    </w:pPr>
    <w:rPr>
      <w:sz w:val="24"/>
    </w:rPr>
  </w:style>
  <w:style w:type="paragraph" w:styleId="Heading5">
    <w:name w:val="heading 5"/>
    <w:basedOn w:val="Normal"/>
    <w:next w:val="Normal"/>
    <w:qFormat/>
    <w:rsid w:val="000E27F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BC2"/>
    <w:pPr>
      <w:tabs>
        <w:tab w:val="center" w:pos="4536"/>
        <w:tab w:val="right" w:pos="9072"/>
      </w:tabs>
    </w:pPr>
    <w:rPr>
      <w:sz w:val="24"/>
      <w:szCs w:val="24"/>
      <w:lang w:val="de-DE" w:eastAsia="de-DE"/>
    </w:rPr>
  </w:style>
  <w:style w:type="paragraph" w:styleId="Footer">
    <w:name w:val="footer"/>
    <w:basedOn w:val="Normal"/>
    <w:rsid w:val="00BD5BC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0632D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41F20"/>
    <w:pPr>
      <w:suppressAutoHyphens/>
      <w:spacing w:before="280" w:after="280"/>
    </w:pPr>
    <w:rPr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6B7747"/>
    <w:rPr>
      <w:b/>
      <w:bCs/>
    </w:rPr>
  </w:style>
  <w:style w:type="paragraph" w:styleId="ListParagraph">
    <w:name w:val="List Paragraph"/>
    <w:basedOn w:val="Normal"/>
    <w:uiPriority w:val="34"/>
    <w:qFormat/>
    <w:rsid w:val="006F0D7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5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1306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48181">
                      <w:marLeft w:val="-68"/>
                      <w:marRight w:val="0"/>
                      <w:marTop w:val="136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3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6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7025">
                  <w:marLeft w:val="2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1038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Tele2 AB</Company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tele2</dc:creator>
  <cp:keywords/>
  <dc:description/>
  <cp:lastModifiedBy>Sandi Radovic</cp:lastModifiedBy>
  <cp:revision>4</cp:revision>
  <cp:lastPrinted>2009-04-28T12:59:00Z</cp:lastPrinted>
  <dcterms:created xsi:type="dcterms:W3CDTF">2011-05-13T14:12:00Z</dcterms:created>
  <dcterms:modified xsi:type="dcterms:W3CDTF">2011-05-13T14:13:00Z</dcterms:modified>
</cp:coreProperties>
</file>